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仿宋_GBK" w:hAnsi="宋体" w:eastAsia="方正仿宋_GBK" w:cs="宋体"/>
          <w:b/>
          <w:kern w:val="0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b/>
          <w:kern w:val="0"/>
          <w:sz w:val="32"/>
          <w:szCs w:val="32"/>
          <w:lang w:eastAsia="zh-CN"/>
        </w:rPr>
        <w:t>法律硕士专业学位研究生培养材料编写通知及分工</w:t>
      </w:r>
    </w:p>
    <w:p>
      <w:pPr>
        <w:spacing w:line="360" w:lineRule="auto"/>
        <w:jc w:val="center"/>
        <w:rPr>
          <w:rFonts w:hint="eastAsia" w:ascii="方正仿宋_GBK" w:hAnsi="宋体" w:eastAsia="方正仿宋_GBK" w:cs="宋体"/>
          <w:b/>
          <w:kern w:val="0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各位教师大家好：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为了进一步规范硕士研究生教育，提高人才培养质量，更好地迎接2018年审核评估，请各位教师利用假期时间，补充、完善和修订法律硕士教学材料。</w:t>
      </w: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教学大纲按照学校研究生院的模板格式编写是，教案和PPT的内容与教学大纲统一，但要突显法律硕士教学的实践性，多设计案例分析和法律适用内容（两位教师负责的课程共同协商内容及分工）。</w:t>
      </w:r>
      <w:r>
        <w:rPr>
          <w:rFonts w:hint="eastAsia" w:ascii="宋体" w:hAnsi="宋体"/>
          <w:sz w:val="24"/>
          <w:lang w:val="en-US" w:eastAsia="zh-CN"/>
        </w:rPr>
        <w:t>下学期开学(3月4日）统一将电子版交办公室孟祥梁教师处。特此通知，并祝生活愉快，身体健康。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</w:p>
    <w:p>
      <w:pPr>
        <w:wordWrap w:val="0"/>
        <w:spacing w:line="360" w:lineRule="auto"/>
        <w:ind w:firstLine="480"/>
        <w:jc w:val="right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法学院        </w:t>
      </w:r>
    </w:p>
    <w:p>
      <w:pPr>
        <w:wordWrap w:val="0"/>
        <w:spacing w:line="360" w:lineRule="auto"/>
        <w:ind w:firstLine="480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2018年1月6日    </w:t>
      </w:r>
    </w:p>
    <w:p>
      <w:pPr>
        <w:spacing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附件：课程教学大纲、教案及PPT编写分工表</w:t>
      </w:r>
    </w:p>
    <w:tbl>
      <w:tblPr>
        <w:tblStyle w:val="3"/>
        <w:tblW w:w="8607" w:type="dxa"/>
        <w:jc w:val="center"/>
        <w:tblInd w:w="-18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540"/>
        <w:gridCol w:w="657"/>
        <w:gridCol w:w="1638"/>
        <w:gridCol w:w="2"/>
        <w:gridCol w:w="747"/>
        <w:gridCol w:w="2"/>
        <w:gridCol w:w="3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color w:val="FF0000"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课程类别</w:t>
            </w: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课程名称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课时</w:t>
            </w:r>
          </w:p>
        </w:tc>
        <w:tc>
          <w:tcPr>
            <w:tcW w:w="163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  <w:lang w:eastAsia="zh-CN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  <w:lang w:eastAsia="zh-CN"/>
              </w:rPr>
              <w:t>编</w:t>
            </w:r>
            <w:r>
              <w:rPr>
                <w:rFonts w:hint="eastAsia" w:ascii="方正仿宋_GBK" w:hAnsi="宋体" w:eastAsia="方正仿宋_GBK" w:cs="Arial"/>
                <w:b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 w:cs="Arial"/>
                <w:b/>
                <w:szCs w:val="20"/>
                <w:lang w:eastAsia="zh-CN"/>
              </w:rPr>
              <w:t>写</w:t>
            </w:r>
          </w:p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教  师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考核</w:t>
            </w:r>
          </w:p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 w:val="24"/>
                <w:szCs w:val="20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方式</w:t>
            </w:r>
          </w:p>
        </w:tc>
        <w:tc>
          <w:tcPr>
            <w:tcW w:w="32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b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Arial"/>
                <w:b/>
                <w:szCs w:val="20"/>
                <w:lang w:val="en-US" w:eastAsia="zh-CN"/>
              </w:rPr>
              <w:t>准备教学材料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Arial"/>
                <w:b/>
                <w:szCs w:val="21"/>
              </w:rPr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专业必修课</w:t>
            </w: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法理学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熊  征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、赵书文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中国法制史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田庆锋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、金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怡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宪法学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王  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民法学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72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张久相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法律职业伦理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  芸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刑法学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72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党崇武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、叶建平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刑事诉讼法学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柴晓宇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、李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瑾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民事诉讼法学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杜睿哲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、张国文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行政法与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行政诉讼法学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齐建辉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经济法学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54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张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芸、</w:t>
            </w:r>
            <w:r>
              <w:rPr>
                <w:rFonts w:hint="eastAsia" w:ascii="仿宋_GB2312" w:hAnsi="宋体" w:eastAsia="仿宋_GB2312" w:cs="Arial"/>
                <w:szCs w:val="21"/>
              </w:rPr>
              <w:t>车亮亮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国际法学</w:t>
            </w:r>
          </w:p>
        </w:tc>
        <w:tc>
          <w:tcPr>
            <w:tcW w:w="65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王  兰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、张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敏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考试</w:t>
            </w:r>
          </w:p>
        </w:tc>
        <w:tc>
          <w:tcPr>
            <w:tcW w:w="32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Arial"/>
                <w:b/>
                <w:szCs w:val="20"/>
              </w:rPr>
              <w:t>专业选修课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外国法制史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曹  明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商法学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李玉璧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法律方法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何俊毅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法律逻辑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张继文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证据法学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  芸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劳动与社会保障法学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牛绿花、</w:t>
            </w:r>
            <w:r>
              <w:rPr>
                <w:rFonts w:hint="eastAsia" w:ascii="仿宋_GB2312" w:hAnsi="宋体" w:eastAsia="仿宋_GB2312" w:cs="Arial"/>
                <w:szCs w:val="21"/>
              </w:rPr>
              <w:t>车亮亮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法律思想史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苏婉儿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国际私法学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王  兰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环境资源法学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段文泽、张继文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国际经济法学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蔡  芳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知识产权法学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李玉璧、</w:t>
            </w:r>
            <w:r>
              <w:rPr>
                <w:rFonts w:hint="eastAsia" w:ascii="仿宋_GB2312" w:hAnsi="宋体" w:eastAsia="仿宋_GB2312" w:cs="Arial"/>
                <w:szCs w:val="21"/>
              </w:rPr>
              <w:t>王  兰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特色方向选修课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企业法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理论与实务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李  泉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金融法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理论与实务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李玉璧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07" w:type="dxa"/>
            <w:vMerge w:val="continue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合同法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理论与实务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张久相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非诉讼纠纷解决理论与实务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李瑾、</w:t>
            </w:r>
            <w:r>
              <w:rPr>
                <w:rFonts w:hint="eastAsia" w:ascii="仿宋_GB2312" w:hAnsi="宋体" w:eastAsia="仿宋_GB2312" w:cs="Arial"/>
                <w:szCs w:val="21"/>
              </w:rPr>
              <w:t>张  芸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婚姻家庭法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理论与实务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李  泉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立法学原理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何俊毅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地方立法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与地方治理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王  勇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地方立法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热点问题研究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何俊毅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地方立法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制度与技术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熊  征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</w:pPr>
          </w:p>
        </w:tc>
        <w:tc>
          <w:tcPr>
            <w:tcW w:w="154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地方立法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典型案例评析</w:t>
            </w:r>
          </w:p>
        </w:tc>
        <w:tc>
          <w:tcPr>
            <w:tcW w:w="657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李玉璧</w:t>
            </w:r>
          </w:p>
        </w:tc>
        <w:tc>
          <w:tcPr>
            <w:tcW w:w="74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Arial"/>
                <w:b/>
                <w:szCs w:val="21"/>
              </w:rPr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实</w:t>
            </w:r>
          </w:p>
          <w:p>
            <w:pPr>
              <w:jc w:val="center"/>
              <w:rPr>
                <w:rFonts w:hint="eastAsia" w:ascii="方正仿宋_GBK" w:hAnsi="宋体" w:eastAsia="方正仿宋_GBK" w:cs="Arial"/>
                <w:b/>
                <w:szCs w:val="21"/>
              </w:rPr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践</w:t>
            </w:r>
          </w:p>
          <w:p>
            <w:pPr>
              <w:jc w:val="center"/>
              <w:rPr>
                <w:rFonts w:hint="eastAsia" w:ascii="方正仿宋_GBK" w:hAnsi="宋体" w:eastAsia="方正仿宋_GBK" w:cs="Arial"/>
                <w:b/>
                <w:szCs w:val="21"/>
              </w:rPr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教</w:t>
            </w:r>
          </w:p>
          <w:p>
            <w:pPr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方正仿宋_GBK" w:hAnsi="宋体" w:eastAsia="方正仿宋_GBK" w:cs="Arial"/>
                <w:b/>
                <w:szCs w:val="21"/>
              </w:rPr>
              <w:t>学</w:t>
            </w: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法律检索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田庆锋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模拟法庭等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54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王冕武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专业实习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六</w:t>
            </w:r>
            <w:r>
              <w:rPr>
                <w:rFonts w:hint="eastAsia" w:ascii="仿宋_GB2312" w:hAnsi="宋体" w:eastAsia="仿宋_GB2312" w:cs="Arial"/>
                <w:szCs w:val="21"/>
              </w:rPr>
              <w:t>月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齐建辉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  <w:tc>
          <w:tcPr>
            <w:tcW w:w="15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法律谈判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王冕武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07" w:type="dxa"/>
            <w:vMerge w:val="continue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</w:p>
        </w:tc>
        <w:tc>
          <w:tcPr>
            <w:tcW w:w="1540" w:type="dxa"/>
            <w:tcBorders>
              <w:bottom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法律写作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36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段文泽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</w:rPr>
              <w:t>考查</w:t>
            </w:r>
          </w:p>
        </w:tc>
        <w:tc>
          <w:tcPr>
            <w:tcW w:w="321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Arial"/>
                <w:szCs w:val="21"/>
                <w:lang w:eastAsia="zh-CN"/>
              </w:rPr>
              <w:t>教学大纲、教案、</w:t>
            </w:r>
            <w:r>
              <w:rPr>
                <w:rFonts w:hint="eastAsia" w:ascii="仿宋_GB2312" w:hAnsi="宋体" w:eastAsia="仿宋_GB2312" w:cs="Arial"/>
                <w:szCs w:val="21"/>
                <w:lang w:val="en-US" w:eastAsia="zh-CN"/>
              </w:rPr>
              <w:t>PPT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F3D43"/>
    <w:rsid w:val="16373FDC"/>
    <w:rsid w:val="453F3D43"/>
    <w:rsid w:val="4F485B9B"/>
    <w:rsid w:val="59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2018-02-06T03:38:00Z</dcterms:created>
  <dc:creator>Administrator</dc:creator>
  <cp:lastModifiedBy>Administrator</cp:lastModifiedBy>
  <dcterms:modified xsi:type="dcterms:W3CDTF">2018-02-07T01:07:41Z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